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ТОМСКАЯ ОБЛАСТЬ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ТОМСКИЙ РАЙОН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24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ЗОРКАЛЬЦЕВСКОГО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E21" w:rsidRPr="00BC5E21" w:rsidRDefault="001A7F1F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№</w:t>
      </w:r>
      <w:r w:rsidR="00BC5E21"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24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Зоркальцево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</w:t>
      </w:r>
      <w:r w:rsidR="001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от </w:t>
      </w:r>
      <w:proofErr w:type="gramStart"/>
      <w:r w:rsidR="001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 </w:t>
      </w:r>
      <w:proofErr w:type="gramEnd"/>
      <w:r w:rsidR="001E2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 октября 2025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внесении изменений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 муниципального образования «</w:t>
      </w:r>
      <w:r w:rsidR="0024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Зоркальцевское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частью 4 статьи 26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иными положениями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от 20.03.2025 №33-ФЗ «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единой системе публичной власти», статьей 10 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06.05.2009 N 68-ОЗ «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должности, в Томской области»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приложением №5 к данному Закону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руководствуясь статьями 16, 56 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от 20.03.2025 №33-ФЗ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Зоркальцевское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приведения Устава муниципального образования в соответствие с федеральным законодательством,</w:t>
      </w: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поселения решил:</w:t>
      </w: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2334" w:rsidRPr="005A2334" w:rsidRDefault="00BC5E21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Зоркальцевское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Томского муници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пального района Томской области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согласно </w:t>
      </w:r>
      <w:proofErr w:type="gramStart"/>
      <w:r w:rsidR="00CF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CF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</w:t>
      </w:r>
      <w:r w:rsidR="001E2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официального опубликования.</w:t>
      </w:r>
    </w:p>
    <w:p w:rsidR="005A2334" w:rsidRDefault="005A2334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на официальном сайте Администрации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hyperlink r:id="rId7" w:history="1">
        <w:r w:rsidR="0024134C" w:rsidRPr="005E1170">
          <w:rPr>
            <w:rStyle w:val="a3"/>
          </w:rPr>
          <w:t>https://www.zorkpos.tomsk.ru/</w:t>
        </w:r>
      </w:hyperlink>
      <w:r w:rsidR="0024134C">
        <w:t xml:space="preserve"> 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издании «Информационный бюллетень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после его государственной регистрации.</w:t>
      </w:r>
    </w:p>
    <w:p w:rsidR="005A2334" w:rsidRDefault="005A2334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Опубликовать Устав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Томского муниципального района Томской области в актуальной редакции 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hyperlink r:id="rId8" w:history="1">
        <w:r w:rsidR="0024134C" w:rsidRPr="005E1170">
          <w:rPr>
            <w:rStyle w:val="a3"/>
          </w:rPr>
          <w:t>https://www.zorkpos.tomsk.ru/</w:t>
        </w:r>
      </w:hyperlink>
      <w:r w:rsidR="0024134C">
        <w:t xml:space="preserve"> 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334" w:rsidRPr="00BC5E21" w:rsidRDefault="005A2334" w:rsidP="005A2334">
      <w:pPr>
        <w:keepNext/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поселения</w:t>
      </w:r>
      <w:r w:rsidR="001E2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 Куклина</w:t>
      </w: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</w:t>
      </w:r>
      <w:proofErr w:type="gramStart"/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Администрации)   </w:t>
      </w:r>
      <w:proofErr w:type="gramEnd"/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Лобыня</w:t>
      </w: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4C" w:rsidRDefault="0024134C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187" w:rsidRDefault="001E2187" w:rsidP="001E2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2025 года №____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Pr="00387D94" w:rsidRDefault="00387D94" w:rsidP="00CF78F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зменения в У</w:t>
      </w:r>
      <w:r w:rsidRPr="00387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 муниципального образования</w:t>
      </w:r>
    </w:p>
    <w:p w:rsidR="00CF78F0" w:rsidRDefault="00387D94" w:rsidP="00CF78F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4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Зоркальцевское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B6" w:rsidRDefault="00A05BB6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EBD" w:rsidRDefault="00B76EC2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F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="00A05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5 ввести Главу</w:t>
      </w:r>
      <w:r w:rsidR="00BF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следующего содержания:</w:t>
      </w:r>
    </w:p>
    <w:p w:rsidR="00BF2EBD" w:rsidRDefault="00BF2EBD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4C" w:rsidRDefault="00E0454D" w:rsidP="00E04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«ГЛАВА</w:t>
      </w:r>
      <w:r w:rsidR="00BF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6. </w:t>
      </w:r>
      <w:r w:rsidR="00B76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B76EC2" w:rsidRPr="00B76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АРАНТИИ ОСУЩЕСТВЛЕНИЯ ПОЛНОМОЧИЙ ЛИЦА, ЗАМЕЩАЮЩЕГО МУНИЦИПАЛЬНУЮ ДОЛЖНОСТЬ</w:t>
      </w:r>
    </w:p>
    <w:p w:rsidR="00B930E0" w:rsidRDefault="00B930E0" w:rsidP="001A7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F4C" w:rsidRDefault="00AD3F4C" w:rsidP="005271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CC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D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Дополнительное пенсионное обеспечение лиц, замещавших муниципальные должности</w:t>
      </w:r>
    </w:p>
    <w:p w:rsidR="005B3B9C" w:rsidRPr="00527144" w:rsidRDefault="005B3B9C" w:rsidP="005271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17E" w:rsidRDefault="00AD3F4C" w:rsidP="005B3B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Лица, замещавшие муниципальные должности на постоянной основе не менее 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получавшие денежное вознаграждение за счет средств местного бюджета, 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прекратившие  исполнение полномочий (в том числе досрочно, но не менее четырех лет), имеют право на дополнительное пенсионное обеспечение в виде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доплаты к страховой пенсии по старости (инвалидности)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муниципальная доплата к пенсии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назначенной в соответствии с Федеральным законом от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 декабря 2013 года №400-ФЗ «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страхо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 пенсиях»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досрочно назначенной в соответствии с Федеральным законом от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12 декабря 2023 года N 565-ФЗ «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занятости н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аселения в Российской Федерации»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страховая пенсия по с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тарости (инвалидности)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в случаях, на условиях и в порядке, которые предусмотрены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настоящим У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ставом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соответствии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от 21.12.2021 №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414-ФЗ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общих принципах организации публичной власти в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субъектах Российской Федерации», 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Томской области от 06.05.2009 №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68-ОЗ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должности, в Томской области».</w:t>
      </w:r>
    </w:p>
    <w:p w:rsidR="005B3B9C" w:rsidRPr="00AF017E" w:rsidRDefault="005B3B9C" w:rsidP="005B3B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Муниципальная доплата к пенсии выплачивается ежемесячно.</w:t>
      </w:r>
    </w:p>
    <w:p w:rsidR="005B3B9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AD3F4C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Финансирование расходов, связанных с установлением муниципальной доплаты к пенсии, осуществляется за счет средств местного бюджета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017E" w:rsidRDefault="00AF017E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B3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Запрет установления муниципальной доплаты к пенсии</w:t>
      </w:r>
    </w:p>
    <w:p w:rsidR="005B3B9C" w:rsidRPr="007C4C96" w:rsidRDefault="005B3B9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F4C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AD3F4C"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не может быть установлена:</w:t>
      </w:r>
    </w:p>
    <w:p w:rsidR="005B3B9C" w:rsidRPr="00AD3F4C" w:rsidRDefault="005B3B9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лицам, замещавшим муниципальные должности,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9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пунктами 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hyperlink r:id="rId10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 части 1 статьи 21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1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пунктами 6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2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7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hyperlink r:id="rId13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10 части 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hyperlink r:id="rId14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частью 2 статьи 30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 марта 2025 года №33-ФЗ «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системе публичной власти»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лицам, полномочия которых были прекращены в связи с вступлением в отношении них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лицам, которым по состоянию на 18 июня 2025 года (включительно) была установлена ежемесячная доплата к страховой пенсии по старости за счет средств областного бюджета;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лицам, которым назначена одна из выплат, предусмотренных </w:t>
      </w:r>
      <w:hyperlink r:id="rId15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 7 статьи 2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Закона Томской об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 от 10 октября 2011 года №240-ОЗ «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государственной пенсии за выслугу лет и единовременном поощрении в связи с выходом на госуда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рственную пенсию за выслугу лет»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лицу, имеющему статус иностранного агента;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лицу, не имеющему гражданства Российской Федерации, или гражданину Российской Федерации, имеющему гражданство (подданство) иностранного государства либо вид на жительство или иной документ, подтверждающий право на постоянное проживание на территории иностранного государства.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Pr="00AD3F4C" w:rsidRDefault="009C5FF4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D3F4C"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Лицо, полномочия которого были прекращены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должности, за которым признано право на реабилитацию, имеет право на получение муниципальной доплаты к пенсии, предусмотренной настоящей статьей.</w:t>
      </w: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расчета муниципальной доплаты лицу, указанному в абзаце первом настоящей части, срок полномочий, не отработанный им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должности, считается полностью отработанным.</w:t>
      </w:r>
    </w:p>
    <w:p w:rsidR="009C5FF4" w:rsidRPr="00AD3F4C" w:rsidRDefault="009C5FF4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7C4C96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C2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hyperlink r:id="rId16" w:history="1">
        <w:r w:rsidRPr="007C4C9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Порядок</w:t>
        </w:r>
      </w:hyperlink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определения размера муниципальной доплаты к пенсии</w:t>
      </w:r>
    </w:p>
    <w:p w:rsidR="00BF2EBD" w:rsidRDefault="00BF2EBD" w:rsidP="00BF2E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Par0"/>
      <w:bookmarkEnd w:id="1"/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Муниципальная доплата к пенсии устанавливается в размере процентного соотношения по выбору лица, обратившегося за назначением доплаты, к денежному содержанию по муниципальной должности, замещаемой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</w:t>
      </w:r>
      <w:r w:rsidR="00787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естного самоуправления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 w:rsidR="00787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Томского муниципального района Томской области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не более 55 процентов - для отработавших один срок полномочий;</w:t>
      </w: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не более 65 процентов - для отработавших два срока полномочий;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не более 75 процентов - для отработавших три срока полномочий и более.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Размер муниципальной доплаты к пенсии при наличии у лица, замещавшего муниципальную должность, стажа,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области, за каждый полный год сверх срока, указанного в </w:t>
      </w:r>
      <w:hyperlink w:anchor="Par0" w:history="1">
        <w:r w:rsidR="00C320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части</w:t>
        </w:r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</w:t>
        </w:r>
      </w:hyperlink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увеличивается на 1 процент, но не более чем до 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 процентов указанного в части 1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денежного содержания.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возраста или месяцу, предшествующему последнему дню исполнения полномочий по муниципальной должности.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Если за время,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Томской области, установленной </w:t>
      </w:r>
      <w:hyperlink r:id="rId17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5 августа 2011 года №157-ОЗ «О расчетной единице»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сумма денежного содержания для исчисления размера доплаты увеличивается соответственно такому повышению.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При исчислении сроков полномочий, предусмотренных </w:t>
      </w:r>
      <w:hyperlink w:anchor="Par0" w:history="1">
        <w:r w:rsidR="00C320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частью</w:t>
        </w:r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</w:t>
        </w:r>
      </w:hyperlink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отношении лиц, замещавших на дату вступления в силу </w:t>
      </w:r>
      <w:hyperlink r:id="rId18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Закона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15 марта 2013 года №35-ОЗ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отдельные законодательные акты Томской области п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вопросам муниципальной службы» должности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контрольного органа муниципального образования в случае формирования контрольного органа представительным орг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аном муниципального образования»,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руководителя контрольного органа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образования» и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аудитор контрольного ор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гана муниципального образования»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подлежит учету период времени с даты заключения лицами, замещавшими указанные должности, трудового договора (контракта), действовавшего на дату вступления в силу </w:t>
      </w:r>
      <w:hyperlink r:id="rId19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Закона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15 марта 2013 года №35-ОЗ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отдельные законодательные акты Томской области п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вопросам муниципальной службы»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 31 мая 2013 года включительно.</w:t>
      </w: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C2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установления и выплаты муниципальной доплаты к пенсии</w:t>
      </w:r>
    </w:p>
    <w:p w:rsidR="004C287B" w:rsidRPr="007C4C96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A0C" w:rsidRDefault="00884A0C" w:rsidP="00884A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C5FF4"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устанавливается по заявлению лица, претендующего</w:t>
      </w:r>
      <w:r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ее установление (далее</w:t>
      </w:r>
      <w:r w:rsidR="009C5FF4"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заявитель),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распоряжением Администрации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4C287B" w:rsidRPr="00884A0C" w:rsidRDefault="004C287B" w:rsidP="00884A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 заявлению о назначении муниципальной доплаты к пенсии прилагаются следующие документы:</w:t>
      </w:r>
    </w:p>
    <w:p w:rsidR="000D1C5F" w:rsidRPr="000D1C5F" w:rsidRDefault="000D1C5F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D1C5F" w:rsidRPr="000D1C5F" w:rsidRDefault="000D1C5F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заявителя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специальный стаж (выслугу)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(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службе;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дату и причину увольнения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(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 о размере денежно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содержания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муниципальной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должности;</w:t>
      </w:r>
    </w:p>
    <w:p w:rsidR="004C287B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о размере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страховой пенсии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4C287B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тарости (инвалидности).</w:t>
      </w:r>
    </w:p>
    <w:p w:rsidR="004C287B" w:rsidRDefault="004C287B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0376" w:rsidRDefault="00EE037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о назначении муниципальной доплаты к пенсии подлежит рассмотрению в течение 30 дней </w:t>
      </w:r>
      <w:r w:rsidR="00ED5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его подачи.</w:t>
      </w:r>
    </w:p>
    <w:p w:rsidR="004C287B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ED589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устанавливается со дня обращения заявителя.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ED589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к заявлению о назначении муниципальной доплаты к пенсии приложены не все необходимые документы, орган, устанавливающий такую доплату, дает заявителю в</w:t>
      </w:r>
      <w:r w:rsidR="00EE0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календарных дней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том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какие документы он должен представить дополнительно.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Рассмотрение данного заявления приостанавливается на срок до предоставления дополнительных документов, но не более чем на три месяца со дня предоставления соответствующего разъяснения.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</w:t>
      </w:r>
      <w:r w:rsidR="00B07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такие документы будут представлены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трех месяцев со дня получения соответствующего разъяснения, </w:t>
      </w:r>
      <w:r w:rsidR="00B07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днем обращения считается день подачи заявления.</w:t>
      </w:r>
    </w:p>
    <w:p w:rsidR="009A7F16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7F0B" w:rsidRDefault="00B07F0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назначении муниципальной доплаты к пенсии может быть отказано в случае отсутствия оснований для 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назначения.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Перерасчет муниципальной доплаты к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пенсии производится</w:t>
      </w:r>
      <w:r w:rsidR="00ED5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случаях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C5FF4" w:rsidRP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повышения размера расчетной единицы, используемой для исчисления должностных окладов лиц, замещающих муниципальные должности в Томской области, установленной </w:t>
      </w:r>
      <w:hyperlink r:id="rId20" w:history="1">
        <w:r w:rsidRPr="00ED589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 w:rsid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5 августа 2011 года №157-ОЗ «О расчетной единице»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C5FF4" w:rsidRP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увеличения на год или большее число лет стажа (выслуги лет), с учетом которого определен размер муниципальной доплаты к пенсии, - по заявлению лица, которому она установлена.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основанию, ука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занному в пункте 1 настоящей части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перерасчет муниципальной доплаты к пенсии производится с даты вступления в силу закона Томской области, которым предусматривается повышение размера расчетной единицы.</w:t>
      </w:r>
    </w:p>
    <w:p w:rsidR="00C3204F" w:rsidRPr="009C5FF4" w:rsidRDefault="00C3204F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основанию, ука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занному в пункте 2 настоящей части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перерасчет муниципальной доплаты к пенсии производится с месяца, следующего за месяцем подачи заявления со всеми необходимыми документами.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Par19"/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Выплата муниципальной доплаты к пенсии прекращается в случаях: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назначения получателю муниципальной доплаты к пенсии одной из выплат, предусмотренных </w:t>
      </w:r>
      <w:hyperlink r:id="rId21" w:history="1">
        <w:r w:rsidRPr="00ED589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 7 статьи 2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Закона Томской об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 от 10 октября 2011 года №240-ОЗ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государственной пенсии за выслугу лет и единовременном поощрении в связи с выходом на госуда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рственную пенсию за выслугу лет»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приобретения статуса иностранного агента;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прекращения гражданства Российской Федерации или приобретения гражданином Российской Федерации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выезда на постоянное место жительства за пределы Российской Федерации;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прекращения выплаты пенсии по инвалидности в соответствии с федеральным законодательством.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Прекращение выплаты муниципальной доплаты к пенсии осуществляется с месяца, следующего за месяцем, в котором возникли обстоятельства, указанные в </w:t>
      </w:r>
      <w:r w:rsid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настоящей статьи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прекращении обстоятельств, указанных в </w:t>
      </w:r>
      <w:r w:rsidR="0058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выплата муниципальной доплаты к пенсии возобновляется </w:t>
      </w:r>
      <w:r w:rsidR="009A7F16" w:rsidRP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возникновения права на возобновление указанной доплаты по заявлению лица, которому она была установлена</w:t>
      </w:r>
      <w:r w:rsidR="0058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</w:t>
      </w:r>
      <w:r w:rsidR="000C0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такому заявлению должны быть приложены документы, подтверждающие прекращение обстоятельств, на основании которых была прекращены выплата муниципальной доплаты к пенсии.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постоянной основе, должности государственной гражданской службы, должности муниципальной службы.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331B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выплаты такой доплаты. </w:t>
      </w:r>
    </w:p>
    <w:p w:rsidR="009A7F16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выплаты муниципальной доплаты к пенсии осуществляется 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заявления, к которому должны быть приложены документы, подтверждающие прекращение обстоятельств, </w:t>
      </w:r>
      <w:r w:rsidR="00AA331B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послуживших основанием для приоста</w:t>
      </w:r>
      <w:r w:rsidR="004B7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новления выплаты такой доплаты.</w:t>
      </w:r>
    </w:p>
    <w:p w:rsidR="009A7F16" w:rsidRDefault="009A7F16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7E0" w:rsidRDefault="004B77E0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выплаты муниципальной доплаты к пенсии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со следующего дня после даты прекращения </w:t>
      </w:r>
      <w:r w:rsidR="006030F8" w:rsidRPr="0060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обстоятельств, послуживших основанием для приостановления выплаты такой доплаты.</w:t>
      </w:r>
    </w:p>
    <w:p w:rsidR="000C0473" w:rsidRPr="009C5FF4" w:rsidRDefault="000C0473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установленной муниципальной доплаты к пенсии, не полученные ее получателем своевременно, выплачиваются с учетом пропущенного времени, в течение которого он имел право на получение такой доплаты.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установленных гражданским законодательством.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Получатель муниципальной доплаты к пенсии обязан сообщать органу, уполномоченному на ее установление, о возникновении обстоятельств, влекущих прекращение либо приостановление ее выплаты.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1A7F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доплаты.</w:t>
      </w:r>
      <w:r w:rsidR="000C0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C0473" w:rsidRDefault="000C0473" w:rsidP="001A7F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6E88" w:rsidRDefault="00B06E88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Номер Главы 6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«</w:t>
      </w:r>
      <w:r w:rsidRP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5A2334" w:rsidRDefault="000C0473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статьи 4</w:t>
      </w:r>
      <w:r w:rsidR="00B0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читать как «</w:t>
      </w:r>
      <w:r w:rsidR="005A2334" w:rsidRPr="005A2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5A2334" w:rsidRDefault="005A2334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Номер статьи 45 читать как «</w:t>
      </w:r>
      <w:r w:rsidRPr="005A2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8A77FC" w:rsidRDefault="008A77FC"/>
    <w:sectPr w:rsidR="008A77FC">
      <w:headerReference w:type="default" r:id="rId22"/>
      <w:pgSz w:w="11909" w:h="16834"/>
      <w:pgMar w:top="1134" w:right="994" w:bottom="1134" w:left="1560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AB" w:rsidRDefault="008503AB" w:rsidP="00B06E88">
      <w:pPr>
        <w:spacing w:after="0" w:line="240" w:lineRule="auto"/>
      </w:pPr>
      <w:r>
        <w:separator/>
      </w:r>
    </w:p>
  </w:endnote>
  <w:endnote w:type="continuationSeparator" w:id="0">
    <w:p w:rsidR="008503AB" w:rsidRDefault="008503AB" w:rsidP="00B0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AB" w:rsidRDefault="008503AB" w:rsidP="00B06E88">
      <w:pPr>
        <w:spacing w:after="0" w:line="240" w:lineRule="auto"/>
      </w:pPr>
      <w:r>
        <w:separator/>
      </w:r>
    </w:p>
  </w:footnote>
  <w:footnote w:type="continuationSeparator" w:id="0">
    <w:p w:rsidR="008503AB" w:rsidRDefault="008503AB" w:rsidP="00B0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88" w:rsidRDefault="00B06E88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24E77"/>
    <w:multiLevelType w:val="hybridMultilevel"/>
    <w:tmpl w:val="BF4EBD0C"/>
    <w:lvl w:ilvl="0" w:tplc="F04C31B8">
      <w:start w:val="1"/>
      <w:numFmt w:val="decimal"/>
      <w:lvlText w:val="%1."/>
      <w:lvlJc w:val="left"/>
      <w:pPr>
        <w:ind w:left="951" w:hanging="4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21"/>
    <w:rsid w:val="000B06DA"/>
    <w:rsid w:val="000C0473"/>
    <w:rsid w:val="000D1C5F"/>
    <w:rsid w:val="000E5054"/>
    <w:rsid w:val="001032CC"/>
    <w:rsid w:val="00176E90"/>
    <w:rsid w:val="001A7F1F"/>
    <w:rsid w:val="001E2187"/>
    <w:rsid w:val="0024134C"/>
    <w:rsid w:val="002718A1"/>
    <w:rsid w:val="003360B5"/>
    <w:rsid w:val="00387D94"/>
    <w:rsid w:val="003A3DF7"/>
    <w:rsid w:val="004B77E0"/>
    <w:rsid w:val="004C287B"/>
    <w:rsid w:val="00527144"/>
    <w:rsid w:val="00585146"/>
    <w:rsid w:val="005A2334"/>
    <w:rsid w:val="005B3B9C"/>
    <w:rsid w:val="005E3567"/>
    <w:rsid w:val="005F39BC"/>
    <w:rsid w:val="006030F8"/>
    <w:rsid w:val="00671239"/>
    <w:rsid w:val="00787FC0"/>
    <w:rsid w:val="007C4C96"/>
    <w:rsid w:val="008469DB"/>
    <w:rsid w:val="008503AB"/>
    <w:rsid w:val="00884A0C"/>
    <w:rsid w:val="008A77FC"/>
    <w:rsid w:val="008F3FBB"/>
    <w:rsid w:val="00916B04"/>
    <w:rsid w:val="00996C05"/>
    <w:rsid w:val="009A4C04"/>
    <w:rsid w:val="009A7F16"/>
    <w:rsid w:val="009C5FF4"/>
    <w:rsid w:val="00A05BB6"/>
    <w:rsid w:val="00A917A7"/>
    <w:rsid w:val="00AA331B"/>
    <w:rsid w:val="00AD3F4C"/>
    <w:rsid w:val="00AF017E"/>
    <w:rsid w:val="00B06E88"/>
    <w:rsid w:val="00B07F0B"/>
    <w:rsid w:val="00B76EC2"/>
    <w:rsid w:val="00B930E0"/>
    <w:rsid w:val="00BC5E21"/>
    <w:rsid w:val="00BC7917"/>
    <w:rsid w:val="00BF2EBD"/>
    <w:rsid w:val="00BF60E3"/>
    <w:rsid w:val="00C030FC"/>
    <w:rsid w:val="00C3204F"/>
    <w:rsid w:val="00CC3014"/>
    <w:rsid w:val="00CF78F0"/>
    <w:rsid w:val="00D13709"/>
    <w:rsid w:val="00E04188"/>
    <w:rsid w:val="00E0454D"/>
    <w:rsid w:val="00E45B49"/>
    <w:rsid w:val="00E8224F"/>
    <w:rsid w:val="00ED5894"/>
    <w:rsid w:val="00EE0376"/>
    <w:rsid w:val="00F608C5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CFF3B-E829-49ED-A181-A875E72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F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30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34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E88"/>
  </w:style>
  <w:style w:type="paragraph" w:styleId="a9">
    <w:name w:val="footer"/>
    <w:basedOn w:val="a"/>
    <w:link w:val="aa"/>
    <w:uiPriority w:val="99"/>
    <w:unhideWhenUsed/>
    <w:rsid w:val="00B0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rkpos.tomsk.ru/" TargetMode="External"/><Relationship Id="rId13" Type="http://schemas.openxmlformats.org/officeDocument/2006/relationships/hyperlink" Target="consultantplus://offline/ref=2FE080C224ACC522ECC95EBC8F41FD999793D4A97511FEE136213E7F431E9F0DF2FD6D46B7B780F55CA01545BEA652D3A5C915164D4E1F9FPAW0I" TargetMode="External"/><Relationship Id="rId18" Type="http://schemas.openxmlformats.org/officeDocument/2006/relationships/hyperlink" Target="consultantplus://offline/ref=EDC03C88D43ADF5A01F122F43EC477A7A557E7255B8627ECD226D0D59583AD98BD4FB063E7FE46336283030D5FD6EA1AgCb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C03C88D43ADF5A01F122F43EC477A7A557E7255D8E24EDD72D8DDF9DDAA19ABA40EF66E0EF46306B9D030749DFBE49878CEBBBDB76D1F87E06942Cg1b4J" TargetMode="External"/><Relationship Id="rId7" Type="http://schemas.openxmlformats.org/officeDocument/2006/relationships/hyperlink" Target="https://www.zorkpos.tomsk.ru/" TargetMode="External"/><Relationship Id="rId12" Type="http://schemas.openxmlformats.org/officeDocument/2006/relationships/hyperlink" Target="consultantplus://offline/ref=2FE080C224ACC522ECC95EBC8F41FD999793D4A97511FEE136213E7F431E9F0DF2FD6D46B7B780F55BA01545BEA652D3A5C915164D4E1F9FPAW0I" TargetMode="External"/><Relationship Id="rId17" Type="http://schemas.openxmlformats.org/officeDocument/2006/relationships/hyperlink" Target="consultantplus://offline/ref=EDC03C88D43ADF5A01F122F43EC477A7A557E7255D8E28E7D62B8DDF9DDAA19ABA40EF66F2EF1E3C69941D0448CAE818C1gDb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FE080C224ACC522ECC940B1992DA39D93988BA77511F0B46F7438281C4E9958B2BD6B13F4F389F459AB421DFEF80B80E882181D5A521F94BBA7A0F9P9W7I" TargetMode="External"/><Relationship Id="rId20" Type="http://schemas.openxmlformats.org/officeDocument/2006/relationships/hyperlink" Target="consultantplus://offline/ref=EDC03C88D43ADF5A01F122F43EC477A7A557E7255D8E28E7D62B8DDF9DDAA19ABA40EF66F2EF1E3C69941D0448CAE818C1gDbC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E080C224ACC522ECC95EBC8F41FD999793D4A97511FEE136213E7F431E9F0DF2FD6D46B7B780F558A01545BEA652D3A5C915164D4E1F9FPAW0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FE080C224ACC522ECC940B1992DA39D93988BA77510F0B56B7538281C4E9958B2BD6B13F4F389F459AB4117F2F80B80E882181D5A521F94BBA7A0F9P9W7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E080C224ACC522ECC95EBC8F41FD999793D4A97511FEE136213E7F431E9F0DF2FD6D46B7B786F65AA01545BEA652D3A5C915164D4E1F9FPAW0I" TargetMode="External"/><Relationship Id="rId19" Type="http://schemas.openxmlformats.org/officeDocument/2006/relationships/hyperlink" Target="consultantplus://offline/ref=EDC03C88D43ADF5A01F122F43EC477A7A557E7255B8627ECD226D0D59583AD98BD4FB063E7FE46336283030D5FD6EA1AgCb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080C224ACC522ECC95EBC8F41FD999793D4A97511FEE136213E7F431E9F0DF2FD6D46B7B786F658A01545BEA652D3A5C915164D4E1F9FPAW0I" TargetMode="External"/><Relationship Id="rId14" Type="http://schemas.openxmlformats.org/officeDocument/2006/relationships/hyperlink" Target="consultantplus://offline/ref=2FE080C224ACC522ECC95EBC8F41FD999793D4A97511FEE136213E7F431E9F0DF2FD6D46B7B780F55EA01545BEA652D3A5C915164D4E1F9FPAW0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2</cp:revision>
  <cp:lastPrinted>2025-10-24T10:45:00Z</cp:lastPrinted>
  <dcterms:created xsi:type="dcterms:W3CDTF">2025-10-29T03:00:00Z</dcterms:created>
  <dcterms:modified xsi:type="dcterms:W3CDTF">2025-10-29T03:00:00Z</dcterms:modified>
</cp:coreProperties>
</file>